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full solution - mu plotter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link: You can download the code for this program at https://tinyurl.com/4a4422ub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program uses the python editor program Mu. It has to be used with Mu because it uses Mu’s plotter facility to plot values sent out from the micro:bit to your computer over USB.  When you move the slider about a reading “data” is sent to the Mu plotter and you can see the values change on the Mu plotter on your computer screen.</w:t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imports the micro:bit module to give you access to all the hardware that is built-in into your 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Imports the time module to enable a tiny sleep pause to be inserted before another reading is taken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forever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data = (pin2.read_analog(),)</w:t>
            </w:r>
            <w:r w:rsidDel="00000000" w:rsidR="00000000" w:rsidRPr="00000000">
              <w:rPr>
                <w:color w:val="ff00ff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The data has to be sent as a Python tuple, even though it only has one value.</w:t>
            </w:r>
          </w:p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That's why there are extra () and a comma in the line highlighted above.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print(data)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Uses the print function in micropython to print the variable data (which is the reading from the slider) to the Mu plotter program.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time.sleep(0.05)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Puts a tiny pause (0.05 is a twentieth of a second) in between each trip round the while loop. </w:t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rtl w:val="0"/>
        </w:rPr>
        <w:t xml:space="preserve">to create a tuple with one item you are required to use the empty brackets plus a comma.  Tuple is a collection which is ordered and unchangeable. Allows duplicate members.</w:t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457200</wp:posOffset>
            </wp:positionH>
            <wp:positionV relativeFrom="paragraph">
              <wp:posOffset>789535</wp:posOffset>
            </wp:positionV>
            <wp:extent cx="5640710" cy="4058878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40710" cy="40588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iKmoUYVmlTsVv1qwbn1avsuANQ==">AMUW2mUSkj8AOS79Q5Pxdr+dZ7scGQoQCLnNEoIOcrUlNI7q0AVVjBk6ibI0ChPVhjJ2z4SZ0FI1OuEFkTcOaQ3SHsXQpxm772gen1dGwJt71WtW+PJnr1c=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